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lastRenderedPageBreak/>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lastRenderedPageBreak/>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 xml:space="preserve">NO LIABILITY OF MICROSOFT FOR CERTAIN DAMAGES.  TO THE MAXIMUM EXTENT PERMITTED BY APPLICABLE LAW, MICROSOFT SHALL HAVE NO LIABILITY FOR ANY </w:t>
      </w:r>
      <w:r w:rsidRPr="00366E90">
        <w:rPr>
          <w:b/>
          <w:sz w:val="20"/>
          <w:szCs w:val="20"/>
        </w:rPr>
        <w:lastRenderedPageBreak/>
        <w:t>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7E00F8">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7E00F8">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forms" w:formatting="1" w:enforcement="1" w:cryptProviderType="rsaFull" w:cryptAlgorithmClass="hash" w:cryptAlgorithmType="typeAny" w:cryptAlgorithmSid="4" w:cryptSpinCount="100000" w:hash="2CDHSTvDL2yvgo9paR3wQ6s9t90=" w:salt="rk9jCi+5KbACUP763abd/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00F8"/>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5D0CD11-3A2D-4659-9F7D-AB31ED4B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Savannah Hunt (Hunt Hosted Solutions Inc)</cp:lastModifiedBy>
  <cp:revision>9</cp:revision>
  <dcterms:created xsi:type="dcterms:W3CDTF">2012-05-02T04:24:00Z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